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29" w:rsidRDefault="00374129" w:rsidP="007B75AB">
      <w:pPr>
        <w:jc w:val="right"/>
        <w:rPr>
          <w:rFonts w:ascii="Arial" w:hAnsi="Arial" w:cs="Arial"/>
          <w:noProof/>
          <w:color w:val="000000"/>
          <w:sz w:val="22"/>
          <w:szCs w:val="22"/>
          <w:lang w:val="bs-Latn-BA"/>
        </w:rPr>
      </w:pPr>
    </w:p>
    <w:p w:rsidR="007B75AB" w:rsidRPr="009C796E" w:rsidRDefault="007B75AB" w:rsidP="007B75AB">
      <w:pPr>
        <w:jc w:val="right"/>
        <w:rPr>
          <w:rFonts w:ascii="Arial" w:hAnsi="Arial" w:cs="Arial"/>
          <w:noProof/>
          <w:color w:val="000000"/>
          <w:sz w:val="22"/>
          <w:szCs w:val="22"/>
          <w:lang w:val="bs-Latn-BA"/>
        </w:rPr>
      </w:pPr>
      <w:r w:rsidRP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Sarajevo / Banja Luka, </w:t>
      </w:r>
      <w:r w:rsidR="00E8234F" w:rsidRP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20</w:t>
      </w:r>
      <w:r w:rsidRP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.01.2016.</w:t>
      </w:r>
    </w:p>
    <w:p w:rsidR="000F0B71" w:rsidRDefault="00374129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  <w:r>
        <w:rPr>
          <w:rFonts w:ascii="Arial" w:eastAsia="Calibri" w:hAnsi="Arial" w:cs="Arial"/>
          <w:noProof/>
          <w:sz w:val="22"/>
          <w:szCs w:val="22"/>
          <w:lang w:val="bs-Latn-BA"/>
        </w:rPr>
        <w:t>Evropska unija u BiH</w:t>
      </w:r>
    </w:p>
    <w:p w:rsidR="00374129" w:rsidRDefault="00374129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  <w:r>
        <w:rPr>
          <w:rFonts w:ascii="Arial" w:eastAsia="Calibri" w:hAnsi="Arial" w:cs="Arial"/>
          <w:noProof/>
          <w:sz w:val="22"/>
          <w:szCs w:val="22"/>
          <w:lang w:val="bs-Latn-BA"/>
        </w:rPr>
        <w:t>TACSO BiH ured</w:t>
      </w:r>
    </w:p>
    <w:p w:rsidR="00374129" w:rsidRPr="009C796E" w:rsidRDefault="00374129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>Poštovana/i,</w:t>
      </w:r>
    </w:p>
    <w:p w:rsidR="000F0B71" w:rsidRPr="009C796E" w:rsidRDefault="000F0B71" w:rsidP="000F0B71">
      <w:pPr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 xml:space="preserve">Zahvaljujemo vam se na mogućnosti dostavljanja komentara u okviru </w:t>
      </w:r>
      <w:r w:rsidRPr="009C796E">
        <w:rPr>
          <w:rFonts w:ascii="Arial" w:hAnsi="Arial" w:cs="Arial"/>
          <w:noProof/>
          <w:color w:val="222222"/>
          <w:sz w:val="22"/>
          <w:szCs w:val="22"/>
          <w:shd w:val="clear" w:color="auto" w:fill="FFFFFF"/>
          <w:lang w:val="bs-Latn-BA"/>
        </w:rPr>
        <w:t xml:space="preserve">EIDHR Poziva za prijedloge projekata 2015-2016. </w:t>
      </w: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9C796E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C796E">
        <w:rPr>
          <w:rFonts w:ascii="Arial" w:hAnsi="Arial" w:cs="Arial"/>
          <w:noProof/>
          <w:sz w:val="22"/>
          <w:szCs w:val="22"/>
          <w:lang w:val="bs-Latn-BA"/>
        </w:rPr>
        <w:t>Mreža za izgradnju mira je uspostavljena u februaru/veljači 2010. godine i danas okuplja 99 organizacija članica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 xml:space="preserve"> koje rad Mreže podržavaju kroz članarine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. Što želimo i što je potrebno za cijelu državu je sveobuhvatan napor usmjeren ka obnovi kvalitete društvenog i ekonomskog života u BiH i oba njena entiteta, kao i Brčko Distrikta, kao i ka dugoročnom povećanju sposobnosti cijelog bh. društva da se ophodi s različitostima i sukobima na konstruktivan i nenasilan način, te time stvoriti okvir za zajedničko, koordinirano djelovanje niza nevladinih organizacija, lokalne uprave i samouprave, poslovnog sektora, medija i državnih institucija.</w:t>
      </w:r>
    </w:p>
    <w:p w:rsidR="000F0B71" w:rsidRPr="009C796E" w:rsidRDefault="000F0B71" w:rsidP="009C796E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  <w:r w:rsidRPr="009C796E">
        <w:rPr>
          <w:rFonts w:ascii="Arial" w:hAnsi="Arial" w:cs="Arial"/>
          <w:noProof/>
          <w:sz w:val="22"/>
          <w:szCs w:val="22"/>
          <w:lang w:val="bs-Latn-BA"/>
        </w:rPr>
        <w:t>U okviru Mreže za izgradnju mira smo imali interne konsultacije, rezu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l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tat kojih su pr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e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poruke koje se nalaze u nastavku teksta sa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 xml:space="preserve"> kojima smatram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o da bi mogli imati kvalitetniju i transparentiju podršku u okviru EIDHR instrumenta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Evropske unije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>.</w:t>
      </w: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0F0B71" w:rsidRPr="009C796E" w:rsidRDefault="000F0B71" w:rsidP="009C796E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>Nala</w:t>
      </w:r>
      <w:r w:rsidR="00D71226" w:rsidRPr="009C796E">
        <w:rPr>
          <w:rFonts w:ascii="Arial" w:eastAsia="Calibri" w:hAnsi="Arial" w:cs="Arial"/>
          <w:noProof/>
          <w:sz w:val="22"/>
          <w:szCs w:val="22"/>
          <w:lang w:val="bs-Latn-BA"/>
        </w:rPr>
        <w:t>z</w:t>
      </w: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 xml:space="preserve">imo Evropsku uniju </w:t>
      </w:r>
      <w:r w:rsidR="00D71226" w:rsidRPr="009C796E">
        <w:rPr>
          <w:rFonts w:ascii="Arial" w:eastAsia="Calibri" w:hAnsi="Arial" w:cs="Arial"/>
          <w:noProof/>
          <w:sz w:val="22"/>
          <w:szCs w:val="22"/>
          <w:lang w:val="bs-Latn-BA"/>
        </w:rPr>
        <w:t xml:space="preserve">vodećim </w:t>
      </w: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 xml:space="preserve">međunarodnim donatorom za civilno društvo u BiH, sa svojim </w:t>
      </w:r>
      <w:r w:rsidR="00D71226" w:rsidRPr="009C796E">
        <w:rPr>
          <w:rFonts w:ascii="Arial" w:eastAsia="Calibri" w:hAnsi="Arial" w:cs="Arial"/>
          <w:noProof/>
          <w:sz w:val="22"/>
          <w:szCs w:val="22"/>
          <w:lang w:val="bs-Latn-BA"/>
        </w:rPr>
        <w:t xml:space="preserve">EIDHR instrumentom koji su brojne organizacije koristile od samog početka.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Pozravljamo mogućnost davanja malih grantova organizacijama u okviru EIDHR-a</w:t>
      </w:r>
      <w:r w:rsidR="00D71226" w:rsidRPr="009C796E">
        <w:rPr>
          <w:rFonts w:ascii="Arial" w:hAnsi="Arial" w:cs="Arial"/>
          <w:noProof/>
          <w:sz w:val="22"/>
          <w:szCs w:val="22"/>
          <w:lang w:val="bs-Latn-BA"/>
        </w:rPr>
        <w:t xml:space="preserve"> i nadamo se da će ovaj instrument nastaviti svoju podršku i u narednim godinama (i nakon 2017-2018).</w:t>
      </w:r>
    </w:p>
    <w:p w:rsidR="00D71226" w:rsidRPr="009C796E" w:rsidRDefault="00D71226" w:rsidP="009C796E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</w:p>
    <w:p w:rsidR="00D71226" w:rsidRPr="009C796E" w:rsidRDefault="00D71226" w:rsidP="009C796E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C796E">
        <w:rPr>
          <w:rFonts w:ascii="Arial" w:hAnsi="Arial" w:cs="Arial"/>
          <w:noProof/>
          <w:sz w:val="22"/>
          <w:szCs w:val="22"/>
          <w:lang w:val="bs-Latn-BA"/>
        </w:rPr>
        <w:t>Naše pr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poruke u odn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o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s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u na poziv za 2015-2016. godinu su sl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jed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eće:</w:t>
      </w:r>
    </w:p>
    <w:p w:rsidR="000F0B71" w:rsidRPr="009C796E" w:rsidRDefault="00D71226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C796E">
        <w:rPr>
          <w:rFonts w:ascii="Arial" w:hAnsi="Arial" w:cs="Arial"/>
          <w:b/>
          <w:noProof/>
          <w:sz w:val="22"/>
          <w:szCs w:val="22"/>
          <w:lang w:val="bs-Latn-BA"/>
        </w:rPr>
        <w:t xml:space="preserve">Uvođenje kategorije </w:t>
      </w:r>
      <w:r w:rsidR="00181D38">
        <w:rPr>
          <w:rFonts w:ascii="Arial" w:hAnsi="Arial" w:cs="Arial"/>
          <w:b/>
          <w:noProof/>
          <w:sz w:val="22"/>
          <w:szCs w:val="22"/>
          <w:lang w:val="bs-Latn-BA"/>
        </w:rPr>
        <w:t xml:space="preserve">relativno </w:t>
      </w:r>
      <w:r w:rsidRPr="009C796E">
        <w:rPr>
          <w:rFonts w:ascii="Arial" w:hAnsi="Arial" w:cs="Arial"/>
          <w:b/>
          <w:noProof/>
          <w:sz w:val="22"/>
          <w:szCs w:val="22"/>
          <w:lang w:val="bs-Latn-BA"/>
        </w:rPr>
        <w:t>manjih grantova.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 Iako će ove godine biti omogućena i shema malih grantova u okviru poziva, bilo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bi dobro da grantovi koje dodjeljuje direktno EIDHR budu na početnom nivou od 50.000 eura, ne 100.000 kao što je bio slučaj prošle godine. Ovo bi omogućilo organizacijama tzv.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rednje veličine mogućnost apliciranja sa svojim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prijedlozima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projek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ta. </w:t>
      </w:r>
    </w:p>
    <w:p w:rsidR="00D71226" w:rsidRPr="009C796E" w:rsidRDefault="00D71226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C796E">
        <w:rPr>
          <w:rFonts w:ascii="Arial" w:hAnsi="Arial" w:cs="Arial"/>
          <w:b/>
          <w:noProof/>
          <w:sz w:val="22"/>
          <w:szCs w:val="22"/>
          <w:lang w:val="bs-Latn-BA"/>
        </w:rPr>
        <w:t xml:space="preserve">Puno finansiranje projekata.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Gdje god da je moguće omogućiti puno finansiranje projekata (100%). U današnjoj strukt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u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ri bh. društva država ne stoji iza organizacija koje dobijaju finansiranje iz međunarodne zajednice, a s obzirom na povlačenje donatora iz 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>BiH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 iznimno je teško pronaći ko-finansiranje. K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ko je moguć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nost punog finansiranja naveden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a u strate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š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kim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d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okumentima Evropske unije prijedlog je da se isto koristi, odno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sno omoguć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i organizacijama da apliciraju za puno fi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na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ns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i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r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nje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svojih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prijedloga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 xml:space="preserve"> projekata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. </w:t>
      </w:r>
    </w:p>
    <w:p w:rsidR="000F0B71" w:rsidRPr="009C796E" w:rsidRDefault="00D71226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7F22CA">
        <w:rPr>
          <w:rFonts w:ascii="Arial" w:hAnsi="Arial" w:cs="Arial"/>
          <w:b/>
          <w:noProof/>
          <w:sz w:val="22"/>
          <w:szCs w:val="22"/>
          <w:lang w:val="bs-Latn-BA"/>
        </w:rPr>
        <w:t>Učešće predstavnika/ce civilnog društva u Evaluacijskom komitetu.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 Kao mogućnost tr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ansparentijeg odlučivanja prije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d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l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og je da predstavnik/ca civilnog društva učestvuje u radu Evaluacijskog komiteta (</w:t>
      </w:r>
      <w:r w:rsidR="000F0B71" w:rsidRPr="009C796E">
        <w:rPr>
          <w:rFonts w:ascii="Arial" w:hAnsi="Arial" w:cs="Arial"/>
          <w:noProof/>
          <w:sz w:val="22"/>
          <w:szCs w:val="22"/>
          <w:lang w:val="bs-Latn-BA"/>
        </w:rPr>
        <w:t>Evaluation Committee)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u statusu člana/ice bez mogućn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o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ti glasa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(non-voting member)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.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matramo da bi učešće odgovarajuće osobe ispred civilnog društva bilo višestruko korisno, gdje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lastRenderedPageBreak/>
        <w:t>bi ta osoba sa svojim poz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>n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avanjem sektora, potreba i prethodnih aktivnosti mogla dati korisne sugestije. Evropska unija 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 xml:space="preserve">opravdano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traži od bh. vlasti prepoznavanje uloge i vrijednosti civilnog društva, 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 xml:space="preserve">npr.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zaht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>i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jevajući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 da civilno društvo u punom op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egu učes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t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vuje u konsultacija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m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a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 xml:space="preserve"> (o zakonima i stretegijama)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. Na isti način na koji smo nominirali predstavnike/ce u npr. pripremi </w:t>
      </w:r>
      <w:r w:rsidRP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Strategije za uspostavu podsticajnog okruženja za razvoj održivog civilnog društva u </w:t>
      </w:r>
      <w:r w:rsidR="00181D38">
        <w:rPr>
          <w:rFonts w:ascii="Arial" w:hAnsi="Arial" w:cs="Arial"/>
          <w:noProof/>
          <w:color w:val="000000"/>
          <w:sz w:val="22"/>
          <w:szCs w:val="22"/>
          <w:lang w:val="bs-Latn-BA"/>
        </w:rPr>
        <w:t>BiH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bi mo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g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li uraditi odabir odgovarajuće osobe za Evaluacijski komitet </w:t>
      </w:r>
      <w:r w:rsidR="00181D38">
        <w:rPr>
          <w:rFonts w:ascii="Arial" w:hAnsi="Arial" w:cs="Arial"/>
          <w:noProof/>
          <w:color w:val="000000"/>
          <w:sz w:val="22"/>
          <w:szCs w:val="22"/>
          <w:lang w:val="bs-Latn-BA"/>
        </w:rPr>
        <w:t>za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oda</w:t>
      </w:r>
      <w:r w:rsidR="00181D38">
        <w:rPr>
          <w:rFonts w:ascii="Arial" w:hAnsi="Arial" w:cs="Arial"/>
          <w:noProof/>
          <w:color w:val="000000"/>
          <w:sz w:val="22"/>
          <w:szCs w:val="22"/>
          <w:lang w:val="bs-Latn-BA"/>
        </w:rPr>
        <w:t>bir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EIDHR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projekata. Više mreža i individualnih organiza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cija bi mogl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o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uraditi javni poziv za odabir ove osobe koja naravno ne bi bila vezana za organizaciju koja aplicira 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u okviru poziva. Ovo bi bi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o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jed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n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ok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r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atni poziv, gdje bi u okviru narednog EIDHR poziva za projekte mogli odabrati drugu osobu. Na ovaj način bi Evropska unija poslužila</w:t>
      </w:r>
      <w:r w:rsidR="00181D38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kao primjer drugim donatorima,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ali i bh. vlastima, kako transparentno raditi odabir projekata i 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pružati odgovorajuću 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podršku 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i jačati civilno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društv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o</w:t>
      </w:r>
      <w:r w:rsidR="009C796E">
        <w:rPr>
          <w:rFonts w:ascii="Arial" w:hAnsi="Arial" w:cs="Arial"/>
          <w:noProof/>
          <w:color w:val="000000"/>
          <w:sz w:val="22"/>
          <w:szCs w:val="22"/>
          <w:lang w:val="bs-Latn-BA"/>
        </w:rPr>
        <w:t>.</w:t>
      </w:r>
    </w:p>
    <w:p w:rsidR="009C796E" w:rsidRPr="009C796E" w:rsidRDefault="009C796E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sz w:val="22"/>
          <w:szCs w:val="22"/>
          <w:lang w:val="bs-Latn-BA"/>
        </w:rPr>
        <w:t>Prevod i jezik aplikacije</w:t>
      </w:r>
      <w:r w:rsidRPr="009C796E">
        <w:rPr>
          <w:rFonts w:ascii="Arial" w:hAnsi="Arial" w:cs="Arial"/>
          <w:b/>
          <w:noProof/>
          <w:sz w:val="22"/>
          <w:szCs w:val="22"/>
          <w:lang w:val="bs-Latn-BA"/>
        </w:rPr>
        <w:t xml:space="preserve">.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S</w:t>
      </w:r>
      <w:r w:rsidR="00181D38">
        <w:rPr>
          <w:rFonts w:ascii="Arial" w:hAnsi="Arial" w:cs="Arial"/>
          <w:noProof/>
          <w:sz w:val="22"/>
          <w:szCs w:val="22"/>
          <w:lang w:val="bs-Latn-BA"/>
        </w:rPr>
        <w:t>v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>je</w:t>
      </w:r>
      <w:r>
        <w:rPr>
          <w:rFonts w:ascii="Arial" w:hAnsi="Arial" w:cs="Arial"/>
          <w:noProof/>
          <w:sz w:val="22"/>
          <w:szCs w:val="22"/>
          <w:lang w:val="bs-Latn-BA"/>
        </w:rPr>
        <w:t xml:space="preserve">sni </w:t>
      </w:r>
      <w:r w:rsidRPr="009C796E">
        <w:rPr>
          <w:rFonts w:ascii="Arial" w:hAnsi="Arial" w:cs="Arial"/>
          <w:noProof/>
          <w:sz w:val="22"/>
          <w:szCs w:val="22"/>
          <w:lang w:val="bs-Latn-BA"/>
        </w:rPr>
        <w:t xml:space="preserve">smo </w:t>
      </w:r>
      <w:r>
        <w:rPr>
          <w:rFonts w:ascii="Arial" w:hAnsi="Arial" w:cs="Arial"/>
          <w:noProof/>
          <w:sz w:val="22"/>
          <w:szCs w:val="22"/>
          <w:lang w:val="bs-Latn-BA"/>
        </w:rPr>
        <w:t>principa rada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Evropske unije</w:t>
      </w:r>
      <w:r>
        <w:rPr>
          <w:rFonts w:ascii="Arial" w:hAnsi="Arial" w:cs="Arial"/>
          <w:noProof/>
          <w:sz w:val="22"/>
          <w:szCs w:val="22"/>
          <w:lang w:val="bs-Latn-BA"/>
        </w:rPr>
        <w:t>, PROSPECT-a i generalnih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bs-Latn-BA"/>
        </w:rPr>
        <w:t>EU pravila,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bs-Latn-BA"/>
        </w:rPr>
        <w:t>ali bilo bi po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hval</w:t>
      </w:r>
      <w:r>
        <w:rPr>
          <w:rFonts w:ascii="Arial" w:hAnsi="Arial" w:cs="Arial"/>
          <w:noProof/>
          <w:sz w:val="22"/>
          <w:szCs w:val="22"/>
          <w:lang w:val="bs-Latn-BA"/>
        </w:rPr>
        <w:t xml:space="preserve">no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ako bi 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>Evropska unija preve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la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poziv za projekte, te u fazi sažetka prije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d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loga projekta (Concept Note) omogućila da isti bude na 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B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>HS jeziku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/icima</w:t>
      </w:r>
      <w:r w:rsidR="00DC4B4F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. Organizacije koje budu 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>pi</w:t>
      </w:r>
      <w:r w:rsidR="00DC4B4F">
        <w:rPr>
          <w:rFonts w:ascii="Arial" w:hAnsi="Arial" w:cs="Arial"/>
          <w:noProof/>
          <w:color w:val="000000"/>
          <w:sz w:val="22"/>
          <w:szCs w:val="22"/>
          <w:lang w:val="bs-Latn-BA"/>
        </w:rPr>
        <w:t>sale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p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unu aplikaciju istu bi imale obavezu dos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>t</w:t>
      </w:r>
      <w:r w:rsidR="007F22CA">
        <w:rPr>
          <w:rFonts w:ascii="Arial" w:hAnsi="Arial" w:cs="Arial"/>
          <w:noProof/>
          <w:color w:val="000000"/>
          <w:sz w:val="22"/>
          <w:szCs w:val="22"/>
          <w:lang w:val="bs-Latn-BA"/>
        </w:rPr>
        <w:t>a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viti na engleskom jeziku. </w:t>
      </w:r>
    </w:p>
    <w:p w:rsidR="009C796E" w:rsidRPr="009C796E" w:rsidRDefault="007F22CA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sz w:val="22"/>
          <w:szCs w:val="22"/>
          <w:lang w:val="bs-Latn-BA"/>
        </w:rPr>
        <w:t>Informa</w:t>
      </w:r>
      <w:r w:rsidR="009C796E">
        <w:rPr>
          <w:rFonts w:ascii="Arial" w:hAnsi="Arial" w:cs="Arial"/>
          <w:b/>
          <w:noProof/>
          <w:sz w:val="22"/>
          <w:szCs w:val="22"/>
          <w:lang w:val="bs-Latn-BA"/>
        </w:rPr>
        <w:t>c</w:t>
      </w:r>
      <w:r>
        <w:rPr>
          <w:rFonts w:ascii="Arial" w:hAnsi="Arial" w:cs="Arial"/>
          <w:b/>
          <w:noProof/>
          <w:sz w:val="22"/>
          <w:szCs w:val="22"/>
          <w:lang w:val="bs-Latn-BA"/>
        </w:rPr>
        <w:t>i</w:t>
      </w:r>
      <w:r w:rsidR="009C796E">
        <w:rPr>
          <w:rFonts w:ascii="Arial" w:hAnsi="Arial" w:cs="Arial"/>
          <w:b/>
          <w:noProof/>
          <w:sz w:val="22"/>
          <w:szCs w:val="22"/>
          <w:lang w:val="bs-Latn-BA"/>
        </w:rPr>
        <w:t xml:space="preserve">ja o organizacijama dobitnicima grantova. </w:t>
      </w:r>
      <w:r w:rsidR="009C796E" w:rsidRPr="009C796E">
        <w:rPr>
          <w:rFonts w:ascii="Arial" w:hAnsi="Arial" w:cs="Arial"/>
          <w:noProof/>
          <w:sz w:val="22"/>
          <w:szCs w:val="22"/>
          <w:lang w:val="bs-Latn-BA"/>
        </w:rPr>
        <w:t xml:space="preserve">Generalno je veoma loša vidljivost, 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odno</w:t>
      </w:r>
      <w:r>
        <w:rPr>
          <w:rFonts w:ascii="Arial" w:hAnsi="Arial" w:cs="Arial"/>
          <w:noProof/>
          <w:sz w:val="22"/>
          <w:szCs w:val="22"/>
          <w:lang w:val="bs-Latn-BA"/>
        </w:rPr>
        <w:t>s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 xml:space="preserve">no dobar dio organizacija </w:t>
      </w:r>
      <w:r>
        <w:rPr>
          <w:rFonts w:ascii="Arial" w:hAnsi="Arial" w:cs="Arial"/>
          <w:noProof/>
          <w:sz w:val="22"/>
          <w:szCs w:val="22"/>
          <w:lang w:val="bs-Latn-BA"/>
        </w:rPr>
        <w:t>n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ije upoznat koje organizacije su dobile gr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antove u okviru EIDHR-a. Kada s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bs-Latn-BA"/>
        </w:rPr>
        <w:t>po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t</w:t>
      </w:r>
      <w:r>
        <w:rPr>
          <w:rFonts w:ascii="Arial" w:hAnsi="Arial" w:cs="Arial"/>
          <w:noProof/>
          <w:sz w:val="22"/>
          <w:szCs w:val="22"/>
          <w:lang w:val="bs-Latn-BA"/>
        </w:rPr>
        <w:t>pišu ugovori prije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d</w:t>
      </w:r>
      <w:r>
        <w:rPr>
          <w:rFonts w:ascii="Arial" w:hAnsi="Arial" w:cs="Arial"/>
          <w:noProof/>
          <w:sz w:val="22"/>
          <w:szCs w:val="22"/>
          <w:lang w:val="bs-Latn-BA"/>
        </w:rPr>
        <w:t>l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og je da se informac</w:t>
      </w:r>
      <w:r>
        <w:rPr>
          <w:rFonts w:ascii="Arial" w:hAnsi="Arial" w:cs="Arial"/>
          <w:noProof/>
          <w:sz w:val="22"/>
          <w:szCs w:val="22"/>
          <w:lang w:val="bs-Latn-BA"/>
        </w:rPr>
        <w:t>i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ja o tome podjeli pute</w:t>
      </w:r>
      <w:r>
        <w:rPr>
          <w:rFonts w:ascii="Arial" w:hAnsi="Arial" w:cs="Arial"/>
          <w:noProof/>
          <w:sz w:val="22"/>
          <w:szCs w:val="22"/>
          <w:lang w:val="bs-Latn-BA"/>
        </w:rPr>
        <w:t>m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 xml:space="preserve"> portala i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w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 xml:space="preserve">eb-stranica koje podržavaju bh. organizacije </w:t>
      </w:r>
      <w:r>
        <w:rPr>
          <w:rFonts w:ascii="Arial" w:hAnsi="Arial" w:cs="Arial"/>
          <w:noProof/>
          <w:sz w:val="22"/>
          <w:szCs w:val="22"/>
          <w:lang w:val="bs-Latn-BA"/>
        </w:rPr>
        <w:t xml:space="preserve">kroz 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>saopštenj</w:t>
      </w:r>
      <w:r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9C796E">
        <w:rPr>
          <w:rFonts w:ascii="Arial" w:hAnsi="Arial" w:cs="Arial"/>
          <w:noProof/>
          <w:sz w:val="22"/>
          <w:szCs w:val="22"/>
          <w:lang w:val="bs-Latn-BA"/>
        </w:rPr>
        <w:t xml:space="preserve"> za medije.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Dodatno bi bilo korisno </w:t>
      </w:r>
      <w:r>
        <w:rPr>
          <w:rFonts w:ascii="Arial" w:hAnsi="Arial" w:cs="Arial"/>
          <w:noProof/>
          <w:sz w:val="22"/>
          <w:szCs w:val="22"/>
          <w:lang w:val="bs-Latn-BA"/>
        </w:rPr>
        <w:t>da s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e</w:t>
      </w:r>
      <w:r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objavi sažetak prijedloga projekata, kako bi druge organizacije koje rade na sličnim područjima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, a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zaint</w:t>
      </w:r>
      <w:r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r</w:t>
      </w:r>
      <w:r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sirane </w:t>
      </w:r>
      <w:r>
        <w:rPr>
          <w:rFonts w:ascii="Arial" w:hAnsi="Arial" w:cs="Arial"/>
          <w:noProof/>
          <w:sz w:val="22"/>
          <w:szCs w:val="22"/>
          <w:lang w:val="bs-Latn-BA"/>
        </w:rPr>
        <w:t xml:space="preserve">su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za saradnju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,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mogle pravo</w:t>
      </w:r>
      <w:r>
        <w:rPr>
          <w:rFonts w:ascii="Arial" w:hAnsi="Arial" w:cs="Arial"/>
          <w:noProof/>
          <w:sz w:val="22"/>
          <w:szCs w:val="22"/>
          <w:lang w:val="bs-Latn-BA"/>
        </w:rPr>
        <w:t>v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reme</w:t>
      </w:r>
      <w:r>
        <w:rPr>
          <w:rFonts w:ascii="Arial" w:hAnsi="Arial" w:cs="Arial"/>
          <w:noProof/>
          <w:sz w:val="22"/>
          <w:szCs w:val="22"/>
          <w:lang w:val="bs-Latn-BA"/>
        </w:rPr>
        <w:t>n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o reagirati i u svoje planov</w:t>
      </w:r>
      <w:r>
        <w:rPr>
          <w:rFonts w:ascii="Arial" w:hAnsi="Arial" w:cs="Arial"/>
          <w:noProof/>
          <w:sz w:val="22"/>
          <w:szCs w:val="22"/>
          <w:lang w:val="bs-Latn-BA"/>
        </w:rPr>
        <w:t>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rada uključiti saradnju sa organizacijama dobitnicima EIDHR grantova. </w:t>
      </w:r>
    </w:p>
    <w:p w:rsidR="009C796E" w:rsidRPr="00374129" w:rsidRDefault="009C796E" w:rsidP="009C79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sz w:val="22"/>
          <w:szCs w:val="22"/>
          <w:lang w:val="bs-Latn-BA"/>
        </w:rPr>
        <w:t xml:space="preserve">Dostupnost informacija o radu organizacija.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Iako su sigurno odli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č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ne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organizacije odabrane u okviru EID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HR poziva za projekte, njihov rad nažalost vrlo često nije na odgovarajućem ni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vou </w:t>
      </w:r>
      <w:r w:rsidR="00DC4B4F">
        <w:rPr>
          <w:rFonts w:ascii="Arial" w:hAnsi="Arial" w:cs="Arial"/>
          <w:noProof/>
          <w:sz w:val="22"/>
          <w:szCs w:val="22"/>
          <w:lang w:val="bs-Latn-BA"/>
        </w:rPr>
        <w:t>sa aspekta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vidljivosti. Prijedlog bi bio da se zaht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i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jeva njihova snažnija interakcija sa drugim organizacijama civilnog društva, objavljivanje informa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ci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ja o aktivnostima po čitanijim web-stranicama koje prate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rad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organizacij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civilnog društva, te najvažnije da njihovi izvještaji odnosno evaluacije budu javno dostupni na web stranici Evropske komisije u BiH.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N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a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ovaj način bi se i druge organi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zacije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mogle ugledati i 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omogućiti na uvid javosti svoje projektne izvještaje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, a napokon bi imali i tran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s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p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a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rent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n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>iji proces rada i prezentacij</w:t>
      </w:r>
      <w:r w:rsidR="007F22CA">
        <w:rPr>
          <w:rFonts w:ascii="Arial" w:hAnsi="Arial" w:cs="Arial"/>
          <w:noProof/>
          <w:sz w:val="22"/>
          <w:szCs w:val="22"/>
          <w:lang w:val="bs-Latn-BA"/>
        </w:rPr>
        <w:t>u</w:t>
      </w:r>
      <w:r w:rsidR="00374129">
        <w:rPr>
          <w:rFonts w:ascii="Arial" w:hAnsi="Arial" w:cs="Arial"/>
          <w:noProof/>
          <w:sz w:val="22"/>
          <w:szCs w:val="22"/>
          <w:lang w:val="bs-Latn-BA"/>
        </w:rPr>
        <w:t xml:space="preserve"> aktivnosti. </w:t>
      </w:r>
    </w:p>
    <w:p w:rsidR="000F0B71" w:rsidRPr="00374129" w:rsidRDefault="00374129" w:rsidP="0096275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noProof/>
          <w:color w:val="222222"/>
          <w:sz w:val="22"/>
          <w:szCs w:val="22"/>
          <w:lang w:val="bs-Latn-BA" w:eastAsia="bs-Latn-BA"/>
        </w:rPr>
      </w:pPr>
      <w:r w:rsidRPr="00374129">
        <w:rPr>
          <w:rFonts w:ascii="Arial" w:hAnsi="Arial" w:cs="Arial"/>
          <w:b/>
          <w:noProof/>
          <w:sz w:val="22"/>
          <w:szCs w:val="22"/>
          <w:lang w:val="bs-Latn-BA"/>
        </w:rPr>
        <w:t>Valorizacija part</w:t>
      </w:r>
      <w:r w:rsidR="007F22CA">
        <w:rPr>
          <w:rFonts w:ascii="Arial" w:hAnsi="Arial" w:cs="Arial"/>
          <w:b/>
          <w:noProof/>
          <w:sz w:val="22"/>
          <w:szCs w:val="22"/>
          <w:lang w:val="bs-Latn-BA"/>
        </w:rPr>
        <w:t>n</w:t>
      </w:r>
      <w:r w:rsidRPr="00374129">
        <w:rPr>
          <w:rFonts w:ascii="Arial" w:hAnsi="Arial" w:cs="Arial"/>
          <w:b/>
          <w:noProof/>
          <w:sz w:val="22"/>
          <w:szCs w:val="22"/>
          <w:lang w:val="bs-Latn-BA"/>
        </w:rPr>
        <w:t>ers</w:t>
      </w:r>
      <w:r w:rsidR="00181D38">
        <w:rPr>
          <w:rFonts w:ascii="Arial" w:hAnsi="Arial" w:cs="Arial"/>
          <w:b/>
          <w:noProof/>
          <w:sz w:val="22"/>
          <w:szCs w:val="22"/>
          <w:lang w:val="bs-Latn-BA"/>
        </w:rPr>
        <w:t>tva</w:t>
      </w:r>
      <w:r w:rsidRPr="00374129">
        <w:rPr>
          <w:rFonts w:ascii="Arial" w:hAnsi="Arial" w:cs="Arial"/>
          <w:b/>
          <w:noProof/>
          <w:sz w:val="22"/>
          <w:szCs w:val="22"/>
          <w:lang w:val="bs-Latn-BA"/>
        </w:rPr>
        <w:t xml:space="preserve">. </w:t>
      </w:r>
      <w:r w:rsidR="000F0B71" w:rsidRPr="00374129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Sem većeg fokusa na partnerskim/s</w:t>
      </w:r>
      <w:r w:rsidR="007F22CA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a</w:t>
      </w:r>
      <w:r w:rsidR="000F0B71" w:rsidRPr="00374129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radničkim projektima više organizacija</w:t>
      </w:r>
      <w:r w:rsidR="00DC4B4F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,</w:t>
      </w:r>
      <w:bookmarkStart w:id="0" w:name="_GoBack"/>
      <w:bookmarkEnd w:id="0"/>
      <w:r w:rsidR="000F0B71" w:rsidRPr="00374129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 xml:space="preserve"> u samim kriterijima valorizirati organizacije koje su članice </w:t>
      </w:r>
      <w:r w:rsidR="008C382C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 xml:space="preserve">različitih </w:t>
      </w:r>
      <w:r w:rsidR="000F0B71" w:rsidRPr="00374129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mreža organizacija koje rade na pitanjima ljudskih prava i izgradnje mira</w:t>
      </w:r>
      <w:r w:rsidR="007F22CA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 xml:space="preserve"> (što su teme EIDHR poziva za projekte)</w:t>
      </w:r>
      <w:r w:rsidR="000F0B71" w:rsidRPr="00374129">
        <w:rPr>
          <w:rFonts w:ascii="Arial" w:hAnsi="Arial" w:cs="Arial"/>
          <w:noProof/>
          <w:color w:val="222222"/>
          <w:sz w:val="22"/>
          <w:szCs w:val="22"/>
          <w:bdr w:val="none" w:sz="0" w:space="0" w:color="auto" w:frame="1"/>
          <w:lang w:val="bs-Latn-BA" w:eastAsia="bs-Latn-BA"/>
        </w:rPr>
        <w:t>, i na ovaj način potičući povezivanje srodnih organizacija.</w:t>
      </w: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374129" w:rsidRDefault="00374129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  <w:r>
        <w:rPr>
          <w:rFonts w:ascii="Arial" w:eastAsia="Calibri" w:hAnsi="Arial" w:cs="Arial"/>
          <w:noProof/>
          <w:sz w:val="22"/>
          <w:szCs w:val="22"/>
          <w:lang w:val="bs-Latn-BA"/>
        </w:rPr>
        <w:t>Još jed</w:t>
      </w:r>
      <w:r w:rsidR="007F22CA">
        <w:rPr>
          <w:rFonts w:ascii="Arial" w:eastAsia="Calibri" w:hAnsi="Arial" w:cs="Arial"/>
          <w:noProof/>
          <w:sz w:val="22"/>
          <w:szCs w:val="22"/>
          <w:lang w:val="bs-Latn-BA"/>
        </w:rPr>
        <w:t>n</w:t>
      </w:r>
      <w:r>
        <w:rPr>
          <w:rFonts w:ascii="Arial" w:eastAsia="Calibri" w:hAnsi="Arial" w:cs="Arial"/>
          <w:noProof/>
          <w:sz w:val="22"/>
          <w:szCs w:val="22"/>
          <w:lang w:val="bs-Latn-BA"/>
        </w:rPr>
        <w:t>om se zahvaljujemo na mogućnosti dostave kom</w:t>
      </w:r>
      <w:r w:rsidR="007F22CA">
        <w:rPr>
          <w:rFonts w:ascii="Arial" w:eastAsia="Calibri" w:hAnsi="Arial" w:cs="Arial"/>
          <w:noProof/>
          <w:sz w:val="22"/>
          <w:szCs w:val="22"/>
          <w:lang w:val="bs-Latn-BA"/>
        </w:rPr>
        <w:t>e</w:t>
      </w:r>
      <w:r>
        <w:rPr>
          <w:rFonts w:ascii="Arial" w:eastAsia="Calibri" w:hAnsi="Arial" w:cs="Arial"/>
          <w:noProof/>
          <w:sz w:val="22"/>
          <w:szCs w:val="22"/>
          <w:lang w:val="bs-Latn-BA"/>
        </w:rPr>
        <w:t>ntara i radujemo se nast</w:t>
      </w:r>
      <w:r w:rsidR="007F22CA">
        <w:rPr>
          <w:rFonts w:ascii="Arial" w:eastAsia="Calibri" w:hAnsi="Arial" w:cs="Arial"/>
          <w:noProof/>
          <w:sz w:val="22"/>
          <w:szCs w:val="22"/>
          <w:lang w:val="bs-Latn-BA"/>
        </w:rPr>
        <w:t>avku uspješn</w:t>
      </w:r>
      <w:r>
        <w:rPr>
          <w:rFonts w:ascii="Arial" w:eastAsia="Calibri" w:hAnsi="Arial" w:cs="Arial"/>
          <w:noProof/>
          <w:sz w:val="22"/>
          <w:szCs w:val="22"/>
          <w:lang w:val="bs-Latn-BA"/>
        </w:rPr>
        <w:t xml:space="preserve">e saradnje sa Evropskom unijom u BiH. </w:t>
      </w:r>
    </w:p>
    <w:p w:rsidR="000F0B71" w:rsidRPr="009C796E" w:rsidRDefault="00374129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  <w:r>
        <w:rPr>
          <w:rFonts w:ascii="Arial" w:eastAsia="Calibri" w:hAnsi="Arial" w:cs="Arial"/>
          <w:noProof/>
          <w:sz w:val="22"/>
          <w:szCs w:val="22"/>
          <w:lang w:val="bs-Latn-BA"/>
        </w:rPr>
        <w:t xml:space="preserve"> </w:t>
      </w: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  <w:r w:rsidRPr="009C796E">
        <w:rPr>
          <w:rFonts w:ascii="Arial" w:eastAsia="Calibri" w:hAnsi="Arial" w:cs="Arial"/>
          <w:noProof/>
          <w:sz w:val="22"/>
          <w:szCs w:val="22"/>
          <w:lang w:val="bs-Latn-BA"/>
        </w:rPr>
        <w:t>S poštovanjem,</w:t>
      </w:r>
    </w:p>
    <w:p w:rsidR="000F0B71" w:rsidRPr="009C796E" w:rsidRDefault="000F0B71" w:rsidP="009C796E">
      <w:pPr>
        <w:jc w:val="both"/>
        <w:rPr>
          <w:rFonts w:ascii="Arial" w:eastAsia="Calibri" w:hAnsi="Arial" w:cs="Arial"/>
          <w:noProof/>
          <w:sz w:val="22"/>
          <w:szCs w:val="22"/>
          <w:lang w:val="bs-Latn-BA"/>
        </w:rPr>
      </w:pPr>
    </w:p>
    <w:p w:rsidR="00486071" w:rsidRPr="009C796E" w:rsidRDefault="007B75AB" w:rsidP="009C796E">
      <w:pPr>
        <w:jc w:val="both"/>
        <w:rPr>
          <w:rFonts w:ascii="Arial" w:hAnsi="Arial" w:cs="Arial"/>
          <w:noProof/>
          <w:sz w:val="22"/>
          <w:szCs w:val="22"/>
          <w:lang w:val="bs-Latn-BA" w:eastAsia="bs-Latn-BA"/>
        </w:rPr>
      </w:pPr>
      <w:r w:rsidRPr="009C796E">
        <w:rPr>
          <w:rFonts w:ascii="Arial" w:hAnsi="Arial" w:cs="Arial"/>
          <w:noProof/>
          <w:sz w:val="22"/>
          <w:szCs w:val="22"/>
          <w:lang w:val="bs-Latn-BA" w:eastAsia="bs-Latn-BA"/>
        </w:rPr>
        <w:t>Mrež</w:t>
      </w:r>
      <w:r w:rsidR="000F0B71" w:rsidRPr="009C796E">
        <w:rPr>
          <w:rFonts w:ascii="Arial" w:hAnsi="Arial" w:cs="Arial"/>
          <w:noProof/>
          <w:sz w:val="22"/>
          <w:szCs w:val="22"/>
          <w:lang w:val="bs-Latn-BA" w:eastAsia="bs-Latn-BA"/>
        </w:rPr>
        <w:t>a</w:t>
      </w:r>
      <w:r w:rsidRPr="009C796E">
        <w:rPr>
          <w:rFonts w:ascii="Arial" w:hAnsi="Arial" w:cs="Arial"/>
          <w:noProof/>
          <w:sz w:val="22"/>
          <w:szCs w:val="22"/>
          <w:lang w:val="bs-Latn-BA" w:eastAsia="bs-Latn-BA"/>
        </w:rPr>
        <w:t xml:space="preserve"> za izgradnju mira</w:t>
      </w:r>
    </w:p>
    <w:sectPr w:rsidR="00486071" w:rsidRPr="009C796E" w:rsidSect="008D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9" w:right="1417" w:bottom="1417" w:left="198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80" w:rsidRDefault="00DC3980">
      <w:r>
        <w:separator/>
      </w:r>
    </w:p>
  </w:endnote>
  <w:endnote w:type="continuationSeparator" w:id="0">
    <w:p w:rsidR="00DC3980" w:rsidRDefault="00DC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D" w:rsidRDefault="00DC3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8D1B54" w:rsidRDefault="00DC3980">
    <w:pPr>
      <w:pStyle w:val="Footer"/>
      <w:jc w:val="right"/>
      <w:rPr>
        <w:rFonts w:ascii="Arial" w:hAnsi="Arial" w:cs="Arial"/>
        <w:sz w:val="20"/>
        <w:szCs w:val="20"/>
        <w:lang w:val="en-US"/>
      </w:rPr>
    </w:pPr>
  </w:p>
  <w:p w:rsidR="001C2E9A" w:rsidRDefault="00273F1A">
    <w:pPr>
      <w:pStyle w:val="Footer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D" w:rsidRDefault="00DC3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80" w:rsidRDefault="00DC3980">
      <w:r>
        <w:separator/>
      </w:r>
    </w:p>
  </w:footnote>
  <w:footnote w:type="continuationSeparator" w:id="0">
    <w:p w:rsidR="00DC3980" w:rsidRDefault="00DC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D" w:rsidRDefault="00DC3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9A" w:rsidRDefault="00273F1A">
    <w:pPr>
      <w:pStyle w:val="Header"/>
      <w:rPr>
        <w:lang w:val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5950F679" wp14:editId="120C5740">
          <wp:simplePos x="0" y="0"/>
          <wp:positionH relativeFrom="column">
            <wp:posOffset>-1252220</wp:posOffset>
          </wp:positionH>
          <wp:positionV relativeFrom="paragraph">
            <wp:posOffset>-415290</wp:posOffset>
          </wp:positionV>
          <wp:extent cx="7526655" cy="10658475"/>
          <wp:effectExtent l="0" t="0" r="0" b="9525"/>
          <wp:wrapNone/>
          <wp:docPr id="1" name="Picture 1" descr="Mreza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ezaTempla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BD" w:rsidRDefault="00DC3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70A0"/>
    <w:multiLevelType w:val="hybridMultilevel"/>
    <w:tmpl w:val="64D4B2C4"/>
    <w:lvl w:ilvl="0" w:tplc="A0D2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750FC"/>
    <w:multiLevelType w:val="hybridMultilevel"/>
    <w:tmpl w:val="EC2E3212"/>
    <w:lvl w:ilvl="0" w:tplc="6904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AB"/>
    <w:rsid w:val="000F0B71"/>
    <w:rsid w:val="00181D38"/>
    <w:rsid w:val="001D378A"/>
    <w:rsid w:val="00273F1A"/>
    <w:rsid w:val="00374129"/>
    <w:rsid w:val="00382AD9"/>
    <w:rsid w:val="004311C9"/>
    <w:rsid w:val="00486071"/>
    <w:rsid w:val="004C1165"/>
    <w:rsid w:val="00797608"/>
    <w:rsid w:val="007B75AB"/>
    <w:rsid w:val="007D2F46"/>
    <w:rsid w:val="007F22CA"/>
    <w:rsid w:val="008C382C"/>
    <w:rsid w:val="009232B0"/>
    <w:rsid w:val="009C796E"/>
    <w:rsid w:val="00A24013"/>
    <w:rsid w:val="00AA6DC7"/>
    <w:rsid w:val="00AB5133"/>
    <w:rsid w:val="00BD5FE3"/>
    <w:rsid w:val="00C34ED8"/>
    <w:rsid w:val="00CA0207"/>
    <w:rsid w:val="00D71226"/>
    <w:rsid w:val="00DC3980"/>
    <w:rsid w:val="00DC4B4F"/>
    <w:rsid w:val="00DD0328"/>
    <w:rsid w:val="00E8234F"/>
    <w:rsid w:val="00F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AEE1-24F0-4F60-BBE7-7E342CD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5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75AB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rsid w:val="007B75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75AB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rmalWeb">
    <w:name w:val="Normal (Web)"/>
    <w:basedOn w:val="Normal"/>
    <w:uiPriority w:val="99"/>
    <w:unhideWhenUsed/>
    <w:rsid w:val="007B75AB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ps">
    <w:name w:val="hps"/>
    <w:rsid w:val="009232B0"/>
  </w:style>
  <w:style w:type="paragraph" w:styleId="ListParagraph">
    <w:name w:val="List Paragraph"/>
    <w:basedOn w:val="Normal"/>
    <w:uiPriority w:val="34"/>
    <w:qFormat/>
    <w:rsid w:val="00D71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4F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Bubalo</dc:creator>
  <cp:keywords/>
  <dc:description/>
  <cp:lastModifiedBy>Goran Bubalo</cp:lastModifiedBy>
  <cp:revision>6</cp:revision>
  <cp:lastPrinted>2016-01-28T14:17:00Z</cp:lastPrinted>
  <dcterms:created xsi:type="dcterms:W3CDTF">2016-01-26T19:56:00Z</dcterms:created>
  <dcterms:modified xsi:type="dcterms:W3CDTF">2016-01-28T14:24:00Z</dcterms:modified>
</cp:coreProperties>
</file>